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wmf" ContentType="image/x-wmf"/>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Regulamin Promocji „Jesienna promocja PENTAX”</w:t>
      </w:r>
    </w:p>
    <w:p>
      <w:pPr>
        <w:pStyle w:val="Normal"/>
        <w:jc w:val="center"/>
        <w:rPr>
          <w:b/>
          <w:b/>
        </w:rPr>
      </w:pPr>
      <w:r>
        <w:rPr>
          <w:b/>
        </w:rPr>
        <w:t>§1</w:t>
      </w:r>
    </w:p>
    <w:p>
      <w:pPr>
        <w:pStyle w:val="Normal"/>
        <w:jc w:val="center"/>
        <w:rPr>
          <w:b/>
          <w:b/>
        </w:rPr>
      </w:pPr>
      <w:r>
        <w:rPr>
          <w:b/>
        </w:rPr>
        <w:t>Definicje</w:t>
      </w:r>
    </w:p>
    <w:p>
      <w:pPr>
        <w:pStyle w:val="ListParagraph"/>
        <w:numPr>
          <w:ilvl w:val="0"/>
          <w:numId w:val="6"/>
        </w:numPr>
        <w:rPr>
          <w:b/>
          <w:b/>
        </w:rPr>
      </w:pPr>
      <w:r>
        <w:rPr/>
        <w:t>Użyte w niniejszym Regulaminie pojęcia i definicje oznaczają:</w:t>
      </w:r>
    </w:p>
    <w:p>
      <w:pPr>
        <w:pStyle w:val="ListParagraph"/>
        <w:numPr>
          <w:ilvl w:val="0"/>
          <w:numId w:val="7"/>
        </w:numPr>
        <w:rPr>
          <w:b/>
          <w:b/>
        </w:rPr>
      </w:pPr>
      <w:r>
        <w:rPr/>
        <w:t>Promocja – Promocja „Jesienna promocja PENTAX”</w:t>
      </w:r>
    </w:p>
    <w:p>
      <w:pPr>
        <w:pStyle w:val="ListParagraph"/>
        <w:numPr>
          <w:ilvl w:val="0"/>
          <w:numId w:val="7"/>
        </w:numPr>
        <w:rPr>
          <w:b/>
          <w:b/>
        </w:rPr>
      </w:pPr>
      <w:r>
        <w:rPr/>
        <w:t>Organizator – Podmiot wskazany w § 2 ust. 1</w:t>
      </w:r>
    </w:p>
    <w:p>
      <w:pPr>
        <w:pStyle w:val="ListParagraph"/>
        <w:numPr>
          <w:ilvl w:val="0"/>
          <w:numId w:val="7"/>
        </w:numPr>
        <w:rPr>
          <w:b/>
          <w:b/>
        </w:rPr>
      </w:pPr>
      <w:r>
        <w:rPr/>
        <w:t>Uczestnik – klient biorący udział w Promocji, spełniający warunki opisane w § 2 ust. 8</w:t>
      </w:r>
    </w:p>
    <w:p>
      <w:pPr>
        <w:pStyle w:val="ListParagraph"/>
        <w:numPr>
          <w:ilvl w:val="0"/>
          <w:numId w:val="7"/>
        </w:numPr>
        <w:rPr>
          <w:b/>
          <w:b/>
        </w:rPr>
      </w:pPr>
      <w:r>
        <w:rPr/>
        <w:t>Produkt promocyjny – produkt objęty Promocją „Jesienna promocja PENTAX” określony w § 2 ust. 4</w:t>
      </w:r>
    </w:p>
    <w:p>
      <w:pPr>
        <w:pStyle w:val="ListParagraph"/>
        <w:numPr>
          <w:ilvl w:val="0"/>
          <w:numId w:val="7"/>
        </w:numPr>
        <w:rPr>
          <w:b/>
          <w:b/>
        </w:rPr>
      </w:pPr>
      <w:bookmarkStart w:id="0" w:name="_GoBack"/>
      <w:bookmarkEnd w:id="0"/>
      <w:r>
        <w:rPr/>
        <w:t>Rabat promocyjny – upust od kwoty brutto (aktualnej sugerowanej ceny sprzedaży producenta) udzielany przez sprzedawcę przy zakupie sprzętu PENTAX wyszczególnionego w § 3 ust. 2</w:t>
      </w:r>
    </w:p>
    <w:p>
      <w:pPr>
        <w:pStyle w:val="ListParagraph"/>
        <w:numPr>
          <w:ilvl w:val="0"/>
          <w:numId w:val="7"/>
        </w:numPr>
        <w:rPr>
          <w:b/>
          <w:b/>
        </w:rPr>
      </w:pPr>
      <w:r>
        <w:rPr/>
        <w:t>Regulamin – niniejszy Regulamin Promocji „Jesienna promocja PENTAX”</w:t>
      </w:r>
    </w:p>
    <w:p>
      <w:pPr>
        <w:pStyle w:val="Normal"/>
        <w:jc w:val="center"/>
        <w:rPr>
          <w:b/>
          <w:b/>
        </w:rPr>
      </w:pPr>
      <w:r>
        <w:rPr>
          <w:b/>
        </w:rPr>
        <w:t>§2</w:t>
      </w:r>
    </w:p>
    <w:p>
      <w:pPr>
        <w:pStyle w:val="Normal"/>
        <w:jc w:val="center"/>
        <w:rPr>
          <w:b/>
          <w:b/>
        </w:rPr>
      </w:pPr>
      <w:r>
        <w:rPr>
          <w:b/>
        </w:rPr>
        <w:t>Postanowienia ogólne</w:t>
      </w:r>
    </w:p>
    <w:p>
      <w:pPr>
        <w:pStyle w:val="Normal"/>
        <w:numPr>
          <w:ilvl w:val="0"/>
          <w:numId w:val="1"/>
        </w:numPr>
        <w:spacing w:before="0" w:after="0"/>
        <w:contextualSpacing/>
        <w:jc w:val="both"/>
        <w:rPr/>
      </w:pPr>
      <w:r>
        <w:rPr/>
        <w:t xml:space="preserve">Organizatorem Promocji „Jesienna promocja PENTAX” (Promocja) jest </w:t>
      </w:r>
      <w:r>
        <w:rPr/>
        <w:t>Foto-Plus</w:t>
      </w:r>
    </w:p>
    <w:p>
      <w:pPr>
        <w:pStyle w:val="Normal"/>
        <w:numPr>
          <w:ilvl w:val="0"/>
          <w:numId w:val="1"/>
        </w:numPr>
        <w:spacing w:before="0" w:after="0"/>
        <w:contextualSpacing/>
        <w:jc w:val="both"/>
        <w:rPr/>
      </w:pPr>
      <w:r>
        <w:rPr/>
        <w:t>Promocja odbywa się zgodnie z zasadami określonymi w niniejszym Regulaminie.</w:t>
      </w:r>
    </w:p>
    <w:p>
      <w:pPr>
        <w:pStyle w:val="Normal"/>
        <w:numPr>
          <w:ilvl w:val="0"/>
          <w:numId w:val="1"/>
        </w:numPr>
        <w:spacing w:before="0" w:after="0"/>
        <w:contextualSpacing/>
        <w:jc w:val="both"/>
        <w:rPr/>
      </w:pPr>
      <w:r>
        <w:rPr/>
        <w:t xml:space="preserve">Promocja prowadzona jest na terytorium Rzeczpospolitej Polskiej. </w:t>
      </w:r>
    </w:p>
    <w:p>
      <w:pPr>
        <w:pStyle w:val="Normal"/>
        <w:numPr>
          <w:ilvl w:val="0"/>
          <w:numId w:val="1"/>
        </w:numPr>
        <w:spacing w:before="0" w:after="160"/>
        <w:contextualSpacing/>
        <w:jc w:val="both"/>
        <w:rPr/>
      </w:pPr>
      <w:r>
        <w:rPr/>
        <w:t>Produktem promocyjnym jest sprzęt marki PENTAX umieszczony w tabeli poniżej (Produkt Promocyjny)</w:t>
      </w:r>
    </w:p>
    <w:p>
      <w:pPr>
        <w:pStyle w:val="Normal"/>
        <w:spacing w:before="0" w:after="160"/>
        <w:ind w:left="720" w:hanging="0"/>
        <w:contextualSpacing/>
        <w:jc w:val="both"/>
        <w:rPr/>
      </w:pPr>
      <w:r>
        <w:rPr/>
        <w:drawing>
          <wp:inline distT="0" distB="0" distL="0" distR="0">
            <wp:extent cx="3067050" cy="3438525"/>
            <wp:effectExtent l="0" t="0" r="0" b="0"/>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2"/>
                    <a:stretch>
                      <a:fillRect/>
                    </a:stretch>
                  </pic:blipFill>
                  <pic:spPr bwMode="auto">
                    <a:xfrm>
                      <a:off x="0" y="0"/>
                      <a:ext cx="3067050" cy="3438525"/>
                    </a:xfrm>
                    <a:prstGeom prst="rect">
                      <a:avLst/>
                    </a:prstGeom>
                    <a:noFill/>
                    <a:ln w="9525">
                      <a:noFill/>
                      <a:miter lim="800000"/>
                      <a:headEnd/>
                      <a:tailEnd/>
                    </a:ln>
                  </pic:spPr>
                </pic:pic>
              </a:graphicData>
            </a:graphic>
          </wp:inline>
        </w:drawing>
      </w:r>
    </w:p>
    <w:p>
      <w:pPr>
        <w:pStyle w:val="Normal"/>
        <w:spacing w:before="0" w:after="160"/>
        <w:ind w:left="720" w:hanging="0"/>
        <w:contextualSpacing/>
        <w:jc w:val="both"/>
        <w:rPr>
          <w:lang w:val="en-GB"/>
        </w:rPr>
      </w:pPr>
      <w:r>
        <w:rPr>
          <w:lang w:val="en-GB"/>
        </w:rPr>
      </w:r>
    </w:p>
    <w:p>
      <w:pPr>
        <w:pStyle w:val="Normal"/>
        <w:numPr>
          <w:ilvl w:val="0"/>
          <w:numId w:val="1"/>
        </w:numPr>
        <w:spacing w:before="0" w:after="0"/>
        <w:contextualSpacing/>
        <w:jc w:val="both"/>
        <w:rPr/>
      </w:pPr>
      <w:r>
        <w:rPr/>
        <w:t>Promocja organizowana jest w Sklepie Internetowym i Sklepach fizycznych Organizatora.</w:t>
      </w:r>
    </w:p>
    <w:p>
      <w:pPr>
        <w:pStyle w:val="Normal"/>
        <w:numPr>
          <w:ilvl w:val="0"/>
          <w:numId w:val="1"/>
        </w:numPr>
        <w:spacing w:before="0" w:after="0"/>
        <w:contextualSpacing/>
        <w:jc w:val="both"/>
        <w:rPr/>
      </w:pPr>
      <w:r>
        <w:rPr/>
        <w:t>Promocja rozpoczyna się w dniu 06.10.2018 i trwa do 31.12.2018 lub do wyczerpania zapasów produktów objętych Promocją, wskazanych w niniejszym Regulaminie.</w:t>
      </w:r>
    </w:p>
    <w:p>
      <w:pPr>
        <w:pStyle w:val="Normal"/>
        <w:numPr>
          <w:ilvl w:val="0"/>
          <w:numId w:val="1"/>
        </w:numPr>
        <w:spacing w:before="0" w:after="0"/>
        <w:contextualSpacing/>
        <w:jc w:val="both"/>
        <w:rPr/>
      </w:pPr>
      <w:r>
        <w:rPr/>
        <w:t>Celem niniejszej promocji jest przyznanie Rabatu promocyjnego na zakup Produktu promocyjnego.</w:t>
      </w:r>
    </w:p>
    <w:p>
      <w:pPr>
        <w:pStyle w:val="ListParagraph"/>
        <w:numPr>
          <w:ilvl w:val="0"/>
          <w:numId w:val="1"/>
        </w:numPr>
        <w:rPr>
          <w:rFonts w:eastAsia="Times New Roman" w:cs="Calibri" w:cstheme="minorHAnsi"/>
          <w:lang w:eastAsia="ar-SA"/>
        </w:rPr>
      </w:pPr>
      <w:r>
        <w:rPr>
          <w:rFonts w:eastAsia="Times New Roman" w:cs="Calibri" w:cstheme="minorHAnsi"/>
          <w:lang w:eastAsia="ar-SA"/>
        </w:rPr>
        <w:t>Uczestnikiem Promocji może być pełnoletnia osoba fizyczna, posiadająca zdolność do czynności prawnych, która w okresie trwania Promocji dokona zakupu Produktu promocyjnego, jako konsument w rozumieniu art.22 Kodeksu Cywilnego oraz przedsiębiorcy.</w:t>
      </w:r>
    </w:p>
    <w:p>
      <w:pPr>
        <w:pStyle w:val="Normal"/>
        <w:jc w:val="center"/>
        <w:rPr>
          <w:b/>
          <w:b/>
        </w:rPr>
      </w:pPr>
      <w:r>
        <w:rPr>
          <w:b/>
        </w:rPr>
      </w:r>
    </w:p>
    <w:p>
      <w:pPr>
        <w:pStyle w:val="Normal"/>
        <w:jc w:val="center"/>
        <w:rPr>
          <w:b/>
          <w:b/>
        </w:rPr>
      </w:pPr>
      <w:r>
        <w:rPr>
          <w:b/>
        </w:rPr>
        <w:t>§3</w:t>
      </w:r>
    </w:p>
    <w:p>
      <w:pPr>
        <w:pStyle w:val="Normal"/>
        <w:jc w:val="center"/>
        <w:rPr>
          <w:b/>
          <w:b/>
        </w:rPr>
      </w:pPr>
      <w:r>
        <w:rPr>
          <w:b/>
        </w:rPr>
        <w:t>Zasady Promocji</w:t>
      </w:r>
    </w:p>
    <w:p>
      <w:pPr>
        <w:pStyle w:val="Normal"/>
        <w:suppressAutoHyphens w:val="true"/>
        <w:spacing w:lineRule="auto" w:line="240" w:before="0" w:after="21"/>
        <w:jc w:val="both"/>
        <w:rPr>
          <w:rFonts w:cs="Calibri" w:cstheme="minorHAnsi"/>
        </w:rPr>
      </w:pPr>
      <w:r>
        <w:rPr>
          <w:rFonts w:cs="Calibri" w:cstheme="minorHAnsi"/>
        </w:rPr>
      </w:r>
    </w:p>
    <w:p>
      <w:pPr>
        <w:pStyle w:val="Normal"/>
        <w:numPr>
          <w:ilvl w:val="0"/>
          <w:numId w:val="5"/>
        </w:numPr>
        <w:spacing w:before="0" w:after="0"/>
        <w:contextualSpacing/>
        <w:jc w:val="both"/>
        <w:rPr/>
      </w:pPr>
      <w:r>
        <w:rPr/>
        <w:t>Produktem promocyjnym w rozumieniu niniejszego Regulaminu są sprzęty PENTAX, pochodzące tylko i wyłącznie z dystrybucji polskiej oraz zakupione na terenie Polski.</w:t>
      </w:r>
    </w:p>
    <w:p>
      <w:pPr>
        <w:pStyle w:val="Normal"/>
        <w:numPr>
          <w:ilvl w:val="0"/>
          <w:numId w:val="5"/>
        </w:numPr>
        <w:spacing w:before="0" w:after="0"/>
        <w:contextualSpacing/>
        <w:jc w:val="both"/>
        <w:rPr/>
      </w:pPr>
      <w:r>
        <w:rPr/>
        <w:t xml:space="preserve">Na zakup Produktu Promocyjnego w okresie trwania Promocji Uczestnik otrzyma Rabat promocyjny w </w:t>
      </w:r>
      <w:r>
        <w:rPr>
          <w:b/>
        </w:rPr>
        <w:t>kwocie brutto</w:t>
      </w:r>
      <w:r>
        <w:rPr/>
        <w:t xml:space="preserve"> według wskazań poniższej tabeli:</w:t>
      </w:r>
    </w:p>
    <w:p>
      <w:pPr>
        <w:pStyle w:val="Normal"/>
        <w:spacing w:before="0" w:after="0"/>
        <w:ind w:left="720" w:hanging="0"/>
        <w:contextualSpacing/>
        <w:jc w:val="both"/>
        <w:rPr/>
      </w:pPr>
      <w:r>
        <w:rPr/>
      </w:r>
    </w:p>
    <w:p>
      <w:pPr>
        <w:pStyle w:val="Normal"/>
        <w:spacing w:before="0" w:after="0"/>
        <w:ind w:left="720" w:hanging="0"/>
        <w:contextualSpacing/>
        <w:jc w:val="both"/>
        <w:rPr/>
      </w:pPr>
      <w:r>
        <w:rPr/>
        <w:drawing>
          <wp:inline distT="0" distB="0" distL="0" distR="0">
            <wp:extent cx="4781550" cy="3438525"/>
            <wp:effectExtent l="0" t="0" r="0" b="0"/>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tretch>
                      <a:fillRect/>
                    </a:stretch>
                  </pic:blipFill>
                  <pic:spPr bwMode="auto">
                    <a:xfrm>
                      <a:off x="0" y="0"/>
                      <a:ext cx="4781550" cy="3438525"/>
                    </a:xfrm>
                    <a:prstGeom prst="rect">
                      <a:avLst/>
                    </a:prstGeom>
                    <a:noFill/>
                    <a:ln w="9525">
                      <a:noFill/>
                      <a:miter lim="800000"/>
                      <a:headEnd/>
                      <a:tailEnd/>
                    </a:ln>
                  </pic:spPr>
                </pic:pic>
              </a:graphicData>
            </a:graphic>
          </wp:inline>
        </w:drawing>
      </w:r>
    </w:p>
    <w:p>
      <w:pPr>
        <w:pStyle w:val="Normal"/>
        <w:spacing w:before="0" w:after="0"/>
        <w:contextualSpacing/>
        <w:jc w:val="both"/>
        <w:rPr/>
      </w:pPr>
      <w:r>
        <w:rPr/>
      </w:r>
    </w:p>
    <w:p>
      <w:pPr>
        <w:pStyle w:val="ListParagraph"/>
        <w:numPr>
          <w:ilvl w:val="0"/>
          <w:numId w:val="5"/>
        </w:numPr>
        <w:spacing w:before="0" w:after="0"/>
        <w:contextualSpacing/>
        <w:jc w:val="both"/>
        <w:rPr/>
      </w:pPr>
      <w:r>
        <w:rPr/>
        <w:t>Rabat promocyjny udzielany jest przez sprzedawcę w momencie zawarcia umowy sprzedaży Produktu promocyjnego.</w:t>
      </w:r>
    </w:p>
    <w:p>
      <w:pPr>
        <w:pStyle w:val="ListParagraph"/>
        <w:numPr>
          <w:ilvl w:val="0"/>
          <w:numId w:val="5"/>
        </w:numPr>
        <w:spacing w:before="0" w:after="0"/>
        <w:contextualSpacing/>
        <w:jc w:val="both"/>
        <w:rPr/>
      </w:pPr>
      <w:r>
        <w:rPr/>
        <w:t xml:space="preserve">Rabat w kwocie brutto umieszczonej w powyższej tabeli naliczany jest </w:t>
      </w:r>
      <w:r>
        <w:rPr>
          <w:b/>
        </w:rPr>
        <w:t>od ceny SRP</w:t>
      </w:r>
      <w:r>
        <w:rPr/>
        <w:t xml:space="preserve"> (sugerowanej ceny producenta) brutto.</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rPr>
          <w:b/>
          <w:b/>
        </w:rPr>
      </w:pPr>
      <w:r>
        <w:rPr>
          <w:b/>
        </w:rPr>
      </w:r>
    </w:p>
    <w:p>
      <w:pPr>
        <w:pStyle w:val="Normal"/>
        <w:jc w:val="center"/>
        <w:rPr>
          <w:b/>
          <w:b/>
        </w:rPr>
      </w:pPr>
      <w:bookmarkStart w:id="1" w:name="_gjdgxs"/>
      <w:bookmarkEnd w:id="1"/>
      <w:r>
        <w:rPr>
          <w:b/>
        </w:rPr>
        <w:t>§4</w:t>
      </w:r>
    </w:p>
    <w:p>
      <w:pPr>
        <w:pStyle w:val="Normal"/>
        <w:jc w:val="center"/>
        <w:rPr>
          <w:b/>
          <w:b/>
        </w:rPr>
      </w:pPr>
      <w:r>
        <w:rPr>
          <w:b/>
        </w:rPr>
        <w:t>Reklamacje</w:t>
      </w:r>
    </w:p>
    <w:p>
      <w:pPr>
        <w:pStyle w:val="Normal"/>
        <w:numPr>
          <w:ilvl w:val="0"/>
          <w:numId w:val="2"/>
        </w:numPr>
        <w:spacing w:before="0" w:after="0"/>
        <w:contextualSpacing/>
        <w:jc w:val="both"/>
        <w:rPr/>
      </w:pPr>
      <w:r>
        <w:rPr/>
        <w:t xml:space="preserve">Wszelkie reklamacje, zastrzeżenia lub uwagi dotyczące Promocji można składać w formie pisemnej na adres Organizatora wskazany w § 2 ust. 1 Regulaminu i na adres e-mail </w:t>
      </w:r>
      <w:hyperlink r:id="rId4">
        <w:r>
          <w:rPr>
            <w:rStyle w:val="Czeinternetowe"/>
            <w:color w:val="0563C1"/>
            <w:u w:val="single"/>
          </w:rPr>
          <w:t>pentax@ricoh.pl</w:t>
        </w:r>
      </w:hyperlink>
      <w:r>
        <w:rPr/>
        <w:t xml:space="preserve">. Zgłoszenie reklamacyjne powinno zawierać: imię, nazwisko i adres do korespondencji osoby składającej reklamację, jak również opis podstawy reklamacji. </w:t>
      </w:r>
    </w:p>
    <w:p>
      <w:pPr>
        <w:pStyle w:val="Normal"/>
        <w:numPr>
          <w:ilvl w:val="0"/>
          <w:numId w:val="2"/>
        </w:numPr>
        <w:spacing w:before="0" w:after="0"/>
        <w:contextualSpacing/>
        <w:jc w:val="both"/>
        <w:rPr/>
      </w:pPr>
      <w:r>
        <w:rPr/>
        <w:t>Uczestnik może złożyć Reklamację w terminie 30 dni od dnia zakończenia Promocji. Reklamację złożoną po upływie terminu określonego w zdaniu pierwszym, pozostawia się bez rozpoznania, o czym Organizator niezwłocznie powiadomi Uczestnika, co jednak nie uchybia możliwości dochodzenia przez Uczestnika roszczeń wynikających z ogólnie obowiązujących przepisów prawa.</w:t>
      </w:r>
    </w:p>
    <w:p>
      <w:pPr>
        <w:pStyle w:val="Normal"/>
        <w:numPr>
          <w:ilvl w:val="0"/>
          <w:numId w:val="2"/>
        </w:numPr>
        <w:spacing w:before="0" w:after="0"/>
        <w:contextualSpacing/>
        <w:jc w:val="both"/>
        <w:rPr/>
      </w:pPr>
      <w:r>
        <w:rPr/>
        <w:t xml:space="preserve">Reklamacje rozpatrywane będą przez Organizatora w terminie 14 dni od dnia otrzymania reklamacji. </w:t>
      </w:r>
    </w:p>
    <w:p>
      <w:pPr>
        <w:pStyle w:val="Normal"/>
        <w:numPr>
          <w:ilvl w:val="0"/>
          <w:numId w:val="2"/>
        </w:numPr>
        <w:spacing w:before="0" w:after="0"/>
        <w:contextualSpacing/>
        <w:jc w:val="both"/>
        <w:rPr/>
      </w:pPr>
      <w:r>
        <w:rPr/>
        <w:t xml:space="preserve">O wyniku rozpatrzenia reklamacji Uczestnik zostanie powiadomiony informacją zwrotną, która zostanie przesłana Uczestnikowi w zależności od wybranej przez Uczestnika formy złożonej reklamacji, na piśmie lub na adres poczty elektronicznej, z którego została zgłoszona reklamacja. </w:t>
      </w:r>
    </w:p>
    <w:p>
      <w:pPr>
        <w:pStyle w:val="Normal"/>
        <w:numPr>
          <w:ilvl w:val="0"/>
          <w:numId w:val="2"/>
        </w:numPr>
        <w:spacing w:before="0" w:after="160"/>
        <w:contextualSpacing/>
        <w:jc w:val="both"/>
        <w:rPr/>
      </w:pPr>
      <w:r>
        <w:rPr/>
        <w:t xml:space="preserve">Przy rozpatrywaniu reklamacji, Organizator opiera się na treści Regulaminu oraz obowiązujących przepisach prawa polskiego. Niezależnie od możliwości wszczęcia postępowania reklamacyjnego, Uczestnikowi przysługuje prawo dochodzenia roszczeń przed sądem powszechnym oraz prawo do pozasądowego rozstrzygania sporów. </w:t>
      </w:r>
    </w:p>
    <w:p>
      <w:pPr>
        <w:pStyle w:val="Normal"/>
        <w:rPr>
          <w:b/>
          <w:b/>
        </w:rPr>
      </w:pPr>
      <w:r>
        <w:rPr>
          <w:b/>
        </w:rPr>
      </w:r>
    </w:p>
    <w:p>
      <w:pPr>
        <w:pStyle w:val="Normal"/>
        <w:jc w:val="center"/>
        <w:rPr>
          <w:b/>
          <w:b/>
        </w:rPr>
      </w:pPr>
      <w:r>
        <w:rPr>
          <w:b/>
        </w:rPr>
        <w:t>§5</w:t>
      </w:r>
    </w:p>
    <w:p>
      <w:pPr>
        <w:pStyle w:val="Normal"/>
        <w:jc w:val="center"/>
        <w:rPr>
          <w:b/>
          <w:b/>
        </w:rPr>
      </w:pPr>
      <w:r>
        <w:rPr>
          <w:b/>
        </w:rPr>
        <w:t>Ochrona danych osobowych</w:t>
      </w:r>
    </w:p>
    <w:p>
      <w:pPr>
        <w:pStyle w:val="Normal"/>
        <w:numPr>
          <w:ilvl w:val="0"/>
          <w:numId w:val="3"/>
        </w:numPr>
        <w:spacing w:before="0" w:after="0"/>
        <w:contextualSpacing/>
        <w:jc w:val="both"/>
        <w:rPr/>
      </w:pPr>
      <w:r>
        <w:rPr/>
        <w:t xml:space="preserve">Administratorem danych osobowych jest Organizator. </w:t>
      </w:r>
    </w:p>
    <w:p>
      <w:pPr>
        <w:pStyle w:val="Normal"/>
        <w:numPr>
          <w:ilvl w:val="0"/>
          <w:numId w:val="3"/>
        </w:numPr>
        <w:spacing w:before="0" w:after="0"/>
        <w:contextualSpacing/>
        <w:jc w:val="both"/>
        <w:rPr/>
      </w:pPr>
      <w:r>
        <w:rPr/>
        <w:t xml:space="preserve">Dane osobowe Uczestników przetwarzane będą przy zachowaniu zasad określonych w ustawie z dnia 29 sierpnia 1997 r. o ochronie danych osobowych (t.j.: Dz.U. 2016 nr 0 poz. 922 z późn. zm.). w celu przeprowadzenia Promocji. Uczestnikowi przysługuje prawo wglądu do danych osobowych, ich poprawiania oraz żądania ich usunięcia. </w:t>
      </w:r>
    </w:p>
    <w:p>
      <w:pPr>
        <w:pStyle w:val="Normal"/>
        <w:rPr>
          <w:b/>
          <w:b/>
        </w:rPr>
      </w:pPr>
      <w:r>
        <w:rPr>
          <w:b/>
        </w:rPr>
      </w:r>
    </w:p>
    <w:p>
      <w:pPr>
        <w:pStyle w:val="Normal"/>
        <w:jc w:val="center"/>
        <w:rPr>
          <w:b/>
          <w:b/>
        </w:rPr>
      </w:pPr>
      <w:r>
        <w:rPr>
          <w:b/>
        </w:rPr>
        <w:t>§6</w:t>
      </w:r>
    </w:p>
    <w:p>
      <w:pPr>
        <w:pStyle w:val="Normal"/>
        <w:jc w:val="center"/>
        <w:rPr>
          <w:b/>
          <w:b/>
        </w:rPr>
      </w:pPr>
      <w:r>
        <w:rPr>
          <w:b/>
        </w:rPr>
        <w:t>Postanowienia końcowe</w:t>
      </w:r>
    </w:p>
    <w:p>
      <w:pPr>
        <w:pStyle w:val="Normal"/>
        <w:numPr>
          <w:ilvl w:val="0"/>
          <w:numId w:val="4"/>
        </w:numPr>
        <w:spacing w:before="0" w:after="0"/>
        <w:contextualSpacing/>
        <w:jc w:val="both"/>
        <w:rPr/>
      </w:pPr>
      <w:r>
        <w:rPr/>
        <w:t>Niniejszy regulamin wchodzi w życie z dniem 06.10.2018 r.</w:t>
      </w:r>
    </w:p>
    <w:p>
      <w:pPr>
        <w:pStyle w:val="Normal"/>
        <w:numPr>
          <w:ilvl w:val="0"/>
          <w:numId w:val="4"/>
        </w:numPr>
        <w:pBdr/>
        <w:suppressAutoHyphens w:val="true"/>
        <w:spacing w:lineRule="auto" w:line="240" w:before="0" w:after="0"/>
        <w:jc w:val="both"/>
        <w:rPr>
          <w:rFonts w:eastAsia="Times New Roman" w:cs="Calibri" w:cstheme="minorHAnsi"/>
          <w:lang w:eastAsia="ar-SA"/>
        </w:rPr>
      </w:pPr>
      <w:r>
        <w:rPr>
          <w:rFonts w:eastAsia="Times New Roman" w:cs="Calibri" w:cstheme="minorHAnsi"/>
          <w:lang w:eastAsia="ar-SA"/>
        </w:rPr>
        <w:t xml:space="preserve">Promocja w Sklepie fizycznym i Sklepie Internetowym nie łączą się ze sobą, </w:t>
      </w:r>
      <w:r>
        <w:rPr>
          <w:rFonts w:eastAsia="Times New Roman" w:cs="Calibri" w:cstheme="minorHAnsi"/>
          <w:spacing w:val="2"/>
          <w:lang w:eastAsia="ar-SA"/>
        </w:rPr>
        <w:t xml:space="preserve">w tym </w:t>
      </w:r>
      <w:r>
        <w:rPr>
          <w:rFonts w:eastAsia="Times New Roman" w:cs="Calibri" w:cstheme="minorHAnsi"/>
          <w:lang w:eastAsia="ar-SA"/>
        </w:rPr>
        <w:t>w zakresie p</w:t>
      </w:r>
      <w:r>
        <w:rPr>
          <w:rFonts w:eastAsia="Times New Roman" w:cs="Calibri" w:cstheme="minorHAnsi"/>
          <w:spacing w:val="0"/>
          <w:lang w:eastAsia="ar-SA"/>
        </w:rPr>
        <w:t>r</w:t>
      </w:r>
      <w:r>
        <w:rPr>
          <w:rFonts w:eastAsia="Times New Roman" w:cs="Calibri" w:cstheme="minorHAnsi"/>
          <w:lang w:eastAsia="ar-SA"/>
        </w:rPr>
        <w:t>oduk</w:t>
      </w:r>
      <w:r>
        <w:rPr>
          <w:rFonts w:eastAsia="Times New Roman" w:cs="Calibri" w:cstheme="minorHAnsi"/>
          <w:spacing w:val="1"/>
          <w:lang w:eastAsia="ar-SA"/>
        </w:rPr>
        <w:t>t</w:t>
      </w:r>
      <w:r>
        <w:rPr>
          <w:rFonts w:eastAsia="Times New Roman" w:cs="Calibri" w:cstheme="minorHAnsi"/>
          <w:lang w:eastAsia="ar-SA"/>
        </w:rPr>
        <w:t xml:space="preserve">ów </w:t>
      </w:r>
      <w:r>
        <w:rPr>
          <w:rFonts w:eastAsia="Times New Roman" w:cs="Calibri" w:cstheme="minorHAnsi"/>
          <w:spacing w:val="0"/>
          <w:lang w:eastAsia="ar-SA"/>
        </w:rPr>
        <w:t>f</w:t>
      </w:r>
      <w:r>
        <w:rPr>
          <w:rFonts w:eastAsia="Times New Roman" w:cs="Calibri" w:cstheme="minorHAnsi"/>
          <w:spacing w:val="1"/>
          <w:lang w:eastAsia="ar-SA"/>
        </w:rPr>
        <w:t>i</w:t>
      </w:r>
      <w:r>
        <w:rPr>
          <w:rFonts w:eastAsia="Times New Roman" w:cs="Calibri" w:cstheme="minorHAnsi"/>
          <w:lang w:eastAsia="ar-SA"/>
        </w:rPr>
        <w:t>n</w:t>
      </w:r>
      <w:r>
        <w:rPr>
          <w:rFonts w:eastAsia="Times New Roman" w:cs="Calibri" w:cstheme="minorHAnsi"/>
          <w:spacing w:val="2"/>
          <w:lang w:eastAsia="ar-SA"/>
        </w:rPr>
        <w:t>a</w:t>
      </w:r>
      <w:r>
        <w:rPr>
          <w:rFonts w:eastAsia="Times New Roman" w:cs="Calibri" w:cstheme="minorHAnsi"/>
          <w:lang w:eastAsia="ar-SA"/>
        </w:rPr>
        <w:t>nso</w:t>
      </w:r>
      <w:r>
        <w:rPr>
          <w:rFonts w:eastAsia="Times New Roman" w:cs="Calibri" w:cstheme="minorHAnsi"/>
          <w:spacing w:val="2"/>
          <w:lang w:eastAsia="ar-SA"/>
        </w:rPr>
        <w:t>w</w:t>
      </w:r>
      <w:r>
        <w:rPr>
          <w:rFonts w:eastAsia="Times New Roman" w:cs="Calibri" w:cstheme="minorHAnsi"/>
          <w:spacing w:val="0"/>
          <w:lang w:eastAsia="ar-SA"/>
        </w:rPr>
        <w:t>y</w:t>
      </w:r>
      <w:r>
        <w:rPr>
          <w:rFonts w:eastAsia="Times New Roman" w:cs="Calibri" w:cstheme="minorHAnsi"/>
          <w:spacing w:val="2"/>
          <w:lang w:eastAsia="ar-SA"/>
        </w:rPr>
        <w:t>c</w:t>
      </w:r>
      <w:r>
        <w:rPr>
          <w:rFonts w:eastAsia="Times New Roman" w:cs="Calibri" w:cstheme="minorHAnsi"/>
          <w:lang w:eastAsia="ar-SA"/>
        </w:rPr>
        <w:t xml:space="preserve">h w </w:t>
      </w:r>
      <w:r>
        <w:rPr>
          <w:rFonts w:eastAsia="Times New Roman" w:cs="Calibri" w:cstheme="minorHAnsi"/>
          <w:spacing w:val="1"/>
          <w:lang w:eastAsia="ar-SA"/>
        </w:rPr>
        <w:t>S</w:t>
      </w:r>
      <w:r>
        <w:rPr>
          <w:rFonts w:eastAsia="Times New Roman" w:cs="Calibri" w:cstheme="minorHAnsi"/>
          <w:lang w:eastAsia="ar-SA"/>
        </w:rPr>
        <w:t>k</w:t>
      </w:r>
      <w:r>
        <w:rPr>
          <w:rFonts w:eastAsia="Times New Roman" w:cs="Calibri" w:cstheme="minorHAnsi"/>
          <w:spacing w:val="1"/>
          <w:lang w:eastAsia="ar-SA"/>
        </w:rPr>
        <w:t>l</w:t>
      </w:r>
      <w:r>
        <w:rPr>
          <w:rFonts w:eastAsia="Times New Roman" w:cs="Calibri" w:cstheme="minorHAnsi"/>
          <w:spacing w:val="0"/>
          <w:lang w:eastAsia="ar-SA"/>
        </w:rPr>
        <w:t>e</w:t>
      </w:r>
      <w:r>
        <w:rPr>
          <w:rFonts w:eastAsia="Times New Roman" w:cs="Calibri" w:cstheme="minorHAnsi"/>
          <w:lang w:eastAsia="ar-SA"/>
        </w:rPr>
        <w:t>p</w:t>
      </w:r>
      <w:r>
        <w:rPr>
          <w:rFonts w:eastAsia="Times New Roman" w:cs="Calibri" w:cstheme="minorHAnsi"/>
          <w:spacing w:val="1"/>
          <w:lang w:eastAsia="ar-SA"/>
        </w:rPr>
        <w:t>i</w:t>
      </w:r>
      <w:r>
        <w:rPr>
          <w:rFonts w:eastAsia="Times New Roman" w:cs="Calibri" w:cstheme="minorHAnsi"/>
          <w:lang w:eastAsia="ar-SA"/>
        </w:rPr>
        <w:t xml:space="preserve">e </w:t>
      </w:r>
      <w:r>
        <w:rPr>
          <w:rFonts w:eastAsia="Times New Roman" w:cs="Calibri" w:cstheme="minorHAnsi"/>
          <w:spacing w:val="0"/>
          <w:lang w:eastAsia="ar-SA"/>
        </w:rPr>
        <w:t>I</w:t>
      </w:r>
      <w:r>
        <w:rPr>
          <w:rFonts w:eastAsia="Times New Roman" w:cs="Calibri" w:cstheme="minorHAnsi"/>
          <w:lang w:eastAsia="ar-SA"/>
        </w:rPr>
        <w:t>n</w:t>
      </w:r>
      <w:r>
        <w:rPr>
          <w:rFonts w:eastAsia="Times New Roman" w:cs="Calibri" w:cstheme="minorHAnsi"/>
          <w:spacing w:val="1"/>
          <w:lang w:eastAsia="ar-SA"/>
        </w:rPr>
        <w:t>t</w:t>
      </w:r>
      <w:r>
        <w:rPr>
          <w:rFonts w:eastAsia="Times New Roman" w:cs="Calibri" w:cstheme="minorHAnsi"/>
          <w:spacing w:val="2"/>
          <w:lang w:eastAsia="ar-SA"/>
        </w:rPr>
        <w:t>e</w:t>
      </w:r>
      <w:r>
        <w:rPr>
          <w:rFonts w:eastAsia="Times New Roman" w:cs="Calibri" w:cstheme="minorHAnsi"/>
          <w:spacing w:val="0"/>
          <w:lang w:eastAsia="ar-SA"/>
        </w:rPr>
        <w:t>r</w:t>
      </w:r>
      <w:r>
        <w:rPr>
          <w:rFonts w:eastAsia="Times New Roman" w:cs="Calibri" w:cstheme="minorHAnsi"/>
          <w:lang w:eastAsia="ar-SA"/>
        </w:rPr>
        <w:t>n</w:t>
      </w:r>
      <w:r>
        <w:rPr>
          <w:rFonts w:eastAsia="Times New Roman" w:cs="Calibri" w:cstheme="minorHAnsi"/>
          <w:spacing w:val="0"/>
          <w:lang w:eastAsia="ar-SA"/>
        </w:rPr>
        <w:t>e</w:t>
      </w:r>
      <w:r>
        <w:rPr>
          <w:rFonts w:eastAsia="Times New Roman" w:cs="Calibri" w:cstheme="minorHAnsi"/>
          <w:spacing w:val="1"/>
          <w:lang w:eastAsia="ar-SA"/>
        </w:rPr>
        <w:t>t</w:t>
      </w:r>
      <w:r>
        <w:rPr>
          <w:rFonts w:eastAsia="Times New Roman" w:cs="Calibri" w:cstheme="minorHAnsi"/>
          <w:lang w:eastAsia="ar-SA"/>
        </w:rPr>
        <w:t>o</w:t>
      </w:r>
      <w:r>
        <w:rPr>
          <w:rFonts w:eastAsia="Times New Roman" w:cs="Calibri" w:cstheme="minorHAnsi"/>
          <w:spacing w:val="4"/>
          <w:lang w:eastAsia="ar-SA"/>
        </w:rPr>
        <w:t>w</w:t>
      </w:r>
      <w:r>
        <w:rPr>
          <w:rFonts w:eastAsia="Times New Roman" w:cs="Calibri" w:cstheme="minorHAnsi"/>
          <w:spacing w:val="0"/>
          <w:lang w:eastAsia="ar-SA"/>
        </w:rPr>
        <w:t>y</w:t>
      </w:r>
      <w:r>
        <w:rPr>
          <w:rFonts w:eastAsia="Times New Roman" w:cs="Calibri" w:cstheme="minorHAnsi"/>
          <w:lang w:eastAsia="ar-SA"/>
        </w:rPr>
        <w:t>m o</w:t>
      </w:r>
      <w:r>
        <w:rPr>
          <w:rFonts w:eastAsia="Times New Roman" w:cs="Calibri" w:cstheme="minorHAnsi"/>
          <w:spacing w:val="2"/>
          <w:lang w:eastAsia="ar-SA"/>
        </w:rPr>
        <w:t>r</w:t>
      </w:r>
      <w:r>
        <w:rPr>
          <w:rFonts w:eastAsia="Times New Roman" w:cs="Calibri" w:cstheme="minorHAnsi"/>
          <w:spacing w:val="0"/>
          <w:lang w:eastAsia="ar-SA"/>
        </w:rPr>
        <w:t>a</w:t>
      </w:r>
      <w:r>
        <w:rPr>
          <w:rFonts w:eastAsia="Times New Roman" w:cs="Calibri" w:cstheme="minorHAnsi"/>
          <w:lang w:eastAsia="ar-SA"/>
        </w:rPr>
        <w:t xml:space="preserve">z w </w:t>
      </w:r>
      <w:r>
        <w:rPr>
          <w:rFonts w:eastAsia="Times New Roman" w:cs="Calibri" w:cstheme="minorHAnsi"/>
          <w:spacing w:val="1"/>
          <w:lang w:eastAsia="ar-SA"/>
        </w:rPr>
        <w:t>S</w:t>
      </w:r>
      <w:r>
        <w:rPr>
          <w:rFonts w:eastAsia="Times New Roman" w:cs="Calibri" w:cstheme="minorHAnsi"/>
          <w:lang w:eastAsia="ar-SA"/>
        </w:rPr>
        <w:t>k</w:t>
      </w:r>
      <w:r>
        <w:rPr>
          <w:rFonts w:eastAsia="Times New Roman" w:cs="Calibri" w:cstheme="minorHAnsi"/>
          <w:spacing w:val="1"/>
          <w:lang w:eastAsia="ar-SA"/>
        </w:rPr>
        <w:t>l</w:t>
      </w:r>
      <w:r>
        <w:rPr>
          <w:rFonts w:eastAsia="Times New Roman" w:cs="Calibri" w:cstheme="minorHAnsi"/>
          <w:spacing w:val="0"/>
          <w:lang w:eastAsia="ar-SA"/>
        </w:rPr>
        <w:t>e</w:t>
      </w:r>
      <w:r>
        <w:rPr>
          <w:rFonts w:eastAsia="Times New Roman" w:cs="Calibri" w:cstheme="minorHAnsi"/>
          <w:lang w:eastAsia="ar-SA"/>
        </w:rPr>
        <w:t xml:space="preserve">pach </w:t>
      </w:r>
      <w:r>
        <w:rPr>
          <w:rFonts w:eastAsia="Times New Roman" w:cs="Calibri" w:cstheme="minorHAnsi"/>
          <w:spacing w:val="0"/>
          <w:lang w:eastAsia="ar-SA"/>
        </w:rPr>
        <w:t>f</w:t>
      </w:r>
      <w:r>
        <w:rPr>
          <w:rFonts w:eastAsia="Times New Roman" w:cs="Calibri" w:cstheme="minorHAnsi"/>
          <w:spacing w:val="1"/>
          <w:lang w:eastAsia="ar-SA"/>
        </w:rPr>
        <w:t>i</w:t>
      </w:r>
      <w:r>
        <w:rPr>
          <w:rFonts w:eastAsia="Times New Roman" w:cs="Calibri" w:cstheme="minorHAnsi"/>
          <w:spacing w:val="4"/>
          <w:lang w:eastAsia="ar-SA"/>
        </w:rPr>
        <w:t>z</w:t>
      </w:r>
      <w:r>
        <w:rPr>
          <w:rFonts w:eastAsia="Times New Roman" w:cs="Calibri" w:cstheme="minorHAnsi"/>
          <w:spacing w:val="0"/>
          <w:lang w:eastAsia="ar-SA"/>
        </w:rPr>
        <w:t>yc</w:t>
      </w:r>
      <w:r>
        <w:rPr>
          <w:rFonts w:eastAsia="Times New Roman" w:cs="Calibri" w:cstheme="minorHAnsi"/>
          <w:spacing w:val="2"/>
          <w:lang w:eastAsia="ar-SA"/>
        </w:rPr>
        <w:t>zn</w:t>
      </w:r>
      <w:r>
        <w:rPr>
          <w:rFonts w:eastAsia="Times New Roman" w:cs="Calibri" w:cstheme="minorHAnsi"/>
          <w:spacing w:val="0"/>
          <w:lang w:eastAsia="ar-SA"/>
        </w:rPr>
        <w:t>y</w:t>
      </w:r>
      <w:r>
        <w:rPr>
          <w:rFonts w:eastAsia="Times New Roman" w:cs="Calibri" w:cstheme="minorHAnsi"/>
          <w:spacing w:val="1"/>
          <w:lang w:eastAsia="ar-SA"/>
        </w:rPr>
        <w:t>ch</w:t>
      </w:r>
      <w:r>
        <w:rPr>
          <w:rFonts w:eastAsia="Times New Roman" w:cs="Calibri" w:cstheme="minorHAnsi"/>
          <w:lang w:eastAsia="ar-SA"/>
        </w:rPr>
        <w:t>.</w:t>
      </w:r>
    </w:p>
    <w:p>
      <w:pPr>
        <w:pStyle w:val="Normal"/>
        <w:numPr>
          <w:ilvl w:val="0"/>
          <w:numId w:val="4"/>
        </w:numPr>
        <w:spacing w:before="0" w:after="0"/>
        <w:contextualSpacing/>
        <w:jc w:val="both"/>
        <w:rPr/>
      </w:pPr>
      <w:r>
        <w:rPr/>
        <w:t xml:space="preserve">Regulamin będzie dostępny w okresie trwania Promocji w siedzibie Organizatora oraz u pracowników Sklepów fizycznych. </w:t>
      </w:r>
    </w:p>
    <w:p>
      <w:pPr>
        <w:pStyle w:val="Normal"/>
        <w:numPr>
          <w:ilvl w:val="0"/>
          <w:numId w:val="4"/>
        </w:numPr>
        <w:spacing w:before="0" w:after="0"/>
        <w:contextualSpacing/>
        <w:jc w:val="both"/>
        <w:rPr/>
      </w:pPr>
      <w:r>
        <w:rPr/>
        <w:t xml:space="preserve">Wszelkie materiały promocyjno-reklamowe mają charakter wyłącznie informacyjny. </w:t>
      </w:r>
    </w:p>
    <w:p>
      <w:pPr>
        <w:pStyle w:val="Normal"/>
        <w:numPr>
          <w:ilvl w:val="0"/>
          <w:numId w:val="4"/>
        </w:numPr>
        <w:spacing w:before="0" w:after="0"/>
        <w:contextualSpacing/>
        <w:jc w:val="both"/>
        <w:rPr/>
      </w:pPr>
      <w:r>
        <w:rPr/>
        <w:t>W sprawach nieuregulowanych niniejszym Regulaminem zastosowanie mają obowiązujące przepisy prawa, w tym przepisy Kodeksu Cywilnego.</w:t>
      </w:r>
    </w:p>
    <w:p>
      <w:pPr>
        <w:pStyle w:val="Normal"/>
        <w:numPr>
          <w:ilvl w:val="0"/>
          <w:numId w:val="4"/>
        </w:numPr>
        <w:jc w:val="both"/>
        <w:rPr/>
      </w:pPr>
      <w:r>
        <w:rPr/>
        <w:t xml:space="preserve">Niniejsza promocja nie jest grą losową ani zakładem wzajemnym, których wynik zależy od przypadku (przeprowadzenie losowania) w rozumieniu </w:t>
      </w:r>
      <w:r>
        <w:rPr>
          <w:bCs/>
        </w:rPr>
        <w:t>ustawy z dnia 19 listopada 2009 r. o grach hazardowych (Dz.U. 2016. poz. 471 z późn. zm.).</w:t>
      </w:r>
    </w:p>
    <w:sectPr>
      <w:type w:val="nextPage"/>
      <w:pgSz w:w="11906" w:h="16838"/>
      <w:pgMar w:left="1417" w:right="1417" w:header="0" w:top="1417" w:footer="0"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swiss"/>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pl-PL" w:eastAsia="pl-PL"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suppressAutoHyphens w:val="true"/>
      <w:bidi w:val="0"/>
      <w:spacing w:lineRule="auto" w:line="259" w:before="0" w:after="160"/>
      <w:jc w:val="left"/>
    </w:pPr>
    <w:rPr>
      <w:rFonts w:ascii="Calibri" w:hAnsi="Calibri" w:eastAsia="Calibri" w:cs="Calibri"/>
      <w:color w:val="000000"/>
      <w:sz w:val="22"/>
      <w:szCs w:val="22"/>
      <w:lang w:val="pl-PL" w:eastAsia="pl-PL" w:bidi="ar-SA"/>
    </w:rPr>
  </w:style>
  <w:style w:type="paragraph" w:styleId="Nagwek1">
    <w:name w:val="Nagłówek 1"/>
    <w:basedOn w:val="Normal"/>
    <w:pPr>
      <w:keepNext/>
      <w:keepLines/>
      <w:spacing w:before="480" w:after="120"/>
      <w:outlineLvl w:val="0"/>
    </w:pPr>
    <w:rPr>
      <w:b/>
      <w:sz w:val="48"/>
      <w:szCs w:val="48"/>
    </w:rPr>
  </w:style>
  <w:style w:type="paragraph" w:styleId="Nagwek2">
    <w:name w:val="Nagłówek 2"/>
    <w:basedOn w:val="Normal"/>
    <w:pPr>
      <w:keepNext/>
      <w:keepLines/>
      <w:spacing w:before="360" w:after="80"/>
      <w:outlineLvl w:val="1"/>
    </w:pPr>
    <w:rPr>
      <w:b/>
      <w:sz w:val="36"/>
      <w:szCs w:val="36"/>
    </w:rPr>
  </w:style>
  <w:style w:type="paragraph" w:styleId="Nagwek3">
    <w:name w:val="Nagłówek 3"/>
    <w:basedOn w:val="Normal"/>
    <w:pPr>
      <w:keepNext/>
      <w:keepLines/>
      <w:spacing w:before="280" w:after="80"/>
      <w:outlineLvl w:val="2"/>
    </w:pPr>
    <w:rPr>
      <w:b/>
      <w:sz w:val="28"/>
      <w:szCs w:val="28"/>
    </w:rPr>
  </w:style>
  <w:style w:type="paragraph" w:styleId="Nagwek4">
    <w:name w:val="Nagłówek 4"/>
    <w:basedOn w:val="Normal"/>
    <w:pPr>
      <w:keepNext/>
      <w:keepLines/>
      <w:spacing w:before="240" w:after="40"/>
      <w:outlineLvl w:val="3"/>
    </w:pPr>
    <w:rPr>
      <w:b/>
      <w:sz w:val="24"/>
      <w:szCs w:val="24"/>
    </w:rPr>
  </w:style>
  <w:style w:type="paragraph" w:styleId="Nagwek5">
    <w:name w:val="Nagłówek 5"/>
    <w:basedOn w:val="Normal"/>
    <w:pPr>
      <w:keepNext/>
      <w:keepLines/>
      <w:spacing w:before="220" w:after="40"/>
      <w:outlineLvl w:val="4"/>
    </w:pPr>
    <w:rPr>
      <w:b/>
    </w:rPr>
  </w:style>
  <w:style w:type="paragraph" w:styleId="Nagwek6">
    <w:name w:val="Nagłówek 6"/>
    <w:basedOn w:val="Normal"/>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42dfc"/>
    <w:rPr>
      <w:sz w:val="16"/>
      <w:szCs w:val="16"/>
    </w:rPr>
  </w:style>
  <w:style w:type="character" w:styleId="TekstkomentarzaZnak" w:customStyle="1">
    <w:name w:val="Tekst komentarza Znak"/>
    <w:basedOn w:val="DefaultParagraphFont"/>
    <w:link w:val="Tekstkomentarza"/>
    <w:uiPriority w:val="99"/>
    <w:semiHidden/>
    <w:qFormat/>
    <w:rsid w:val="00b42dfc"/>
    <w:rPr>
      <w:sz w:val="20"/>
      <w:szCs w:val="20"/>
    </w:rPr>
  </w:style>
  <w:style w:type="character" w:styleId="TematkomentarzaZnak" w:customStyle="1">
    <w:name w:val="Temat komentarza Znak"/>
    <w:basedOn w:val="TekstkomentarzaZnak"/>
    <w:link w:val="Tematkomentarza"/>
    <w:uiPriority w:val="99"/>
    <w:semiHidden/>
    <w:qFormat/>
    <w:rsid w:val="00b42dfc"/>
    <w:rPr>
      <w:b/>
      <w:bCs/>
      <w:sz w:val="20"/>
      <w:szCs w:val="20"/>
    </w:rPr>
  </w:style>
  <w:style w:type="character" w:styleId="TekstdymkaZnak" w:customStyle="1">
    <w:name w:val="Tekst dymka Znak"/>
    <w:basedOn w:val="DefaultParagraphFont"/>
    <w:link w:val="Tekstdymka"/>
    <w:uiPriority w:val="99"/>
    <w:semiHidden/>
    <w:qFormat/>
    <w:rsid w:val="00b42dfc"/>
    <w:rPr>
      <w:rFonts w:ascii="Segoe UI" w:hAnsi="Segoe UI" w:cs="Segoe UI"/>
      <w:sz w:val="18"/>
      <w:szCs w:val="18"/>
    </w:rPr>
  </w:style>
  <w:style w:type="character" w:styleId="Czeinternetowe">
    <w:name w:val="Łącze internetowe"/>
    <w:basedOn w:val="DefaultParagraphFont"/>
    <w:uiPriority w:val="99"/>
    <w:unhideWhenUsed/>
    <w:rsid w:val="00d955ef"/>
    <w:rPr>
      <w:color w:val="0563C1" w:themeColor="hyperlink"/>
      <w:u w:val="single"/>
    </w:rPr>
  </w:style>
  <w:style w:type="character" w:styleId="UnresolvedMention" w:customStyle="1">
    <w:name w:val="Unresolved Mention"/>
    <w:basedOn w:val="DefaultParagraphFont"/>
    <w:uiPriority w:val="99"/>
    <w:semiHidden/>
    <w:unhideWhenUsed/>
    <w:qFormat/>
    <w:rsid w:val="00f55a16"/>
    <w:rPr>
      <w:color w:val="808080"/>
      <w:shd w:fill="E6E6E6" w:val="clear"/>
    </w:rPr>
  </w:style>
  <w:style w:type="character" w:styleId="ListLabel1">
    <w:name w:val="ListLabel 1"/>
    <w:qFormat/>
    <w:rPr>
      <w:b/>
    </w:rPr>
  </w:style>
  <w:style w:type="paragraph" w:styleId="Nagwek">
    <w:name w:val="Nagłówek"/>
    <w:basedOn w:val="Normal"/>
    <w:next w:val="Tretekstu"/>
    <w:qFormat/>
    <w:pPr>
      <w:keepNext/>
      <w:spacing w:before="240" w:after="120"/>
    </w:pPr>
    <w:rPr>
      <w:rFonts w:ascii="Arial" w:hAnsi="Arial" w:eastAsia="Arial"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style>
  <w:style w:type="paragraph" w:styleId="Podpis">
    <w:name w:val="Podpis"/>
    <w:basedOn w:val="Normal"/>
    <w:pPr>
      <w:suppressLineNumbers/>
      <w:spacing w:before="120" w:after="120"/>
    </w:pPr>
    <w:rPr>
      <w:i/>
      <w:iCs/>
      <w:sz w:val="24"/>
      <w:szCs w:val="24"/>
    </w:rPr>
  </w:style>
  <w:style w:type="paragraph" w:styleId="Indeks">
    <w:name w:val="Indeks"/>
    <w:basedOn w:val="Normal"/>
    <w:qFormat/>
    <w:pPr>
      <w:suppressLineNumbers/>
    </w:pPr>
    <w:rPr/>
  </w:style>
  <w:style w:type="paragraph" w:styleId="Tytu">
    <w:name w:val="Tytuł"/>
    <w:basedOn w:val="Normal"/>
    <w:pPr>
      <w:keepNext/>
      <w:keepLines/>
      <w:spacing w:before="480" w:after="120"/>
    </w:pPr>
    <w:rPr>
      <w:b/>
      <w:sz w:val="72"/>
      <w:szCs w:val="72"/>
    </w:rPr>
  </w:style>
  <w:style w:type="paragraph" w:styleId="Podtytu">
    <w:name w:val="Podtytuł"/>
    <w:basedOn w:val="Normal"/>
    <w:pPr>
      <w:keepNext/>
      <w:keepLines/>
      <w:spacing w:before="360" w:after="80"/>
    </w:pPr>
    <w:rPr>
      <w:rFonts w:ascii="Georgia" w:hAnsi="Georgia" w:eastAsia="Georgia" w:cs="Georgia"/>
      <w:i/>
      <w:color w:val="666666"/>
      <w:sz w:val="48"/>
      <w:szCs w:val="48"/>
    </w:rPr>
  </w:style>
  <w:style w:type="paragraph" w:styleId="Annotationtext">
    <w:name w:val="annotation text"/>
    <w:basedOn w:val="Normal"/>
    <w:link w:val="TekstkomentarzaZnak"/>
    <w:uiPriority w:val="99"/>
    <w:semiHidden/>
    <w:unhideWhenUsed/>
    <w:qFormat/>
    <w:rsid w:val="00b42dfc"/>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b42dfc"/>
    <w:pPr/>
    <w:rPr>
      <w:b/>
      <w:bCs/>
    </w:rPr>
  </w:style>
  <w:style w:type="paragraph" w:styleId="BalloonText">
    <w:name w:val="Balloon Text"/>
    <w:basedOn w:val="Normal"/>
    <w:link w:val="TekstdymkaZnak"/>
    <w:uiPriority w:val="99"/>
    <w:semiHidden/>
    <w:unhideWhenUsed/>
    <w:qFormat/>
    <w:rsid w:val="00b42dfc"/>
    <w:pPr>
      <w:spacing w:lineRule="auto" w:line="240" w:before="0" w:after="0"/>
    </w:pPr>
    <w:rPr>
      <w:rFonts w:ascii="Segoe UI" w:hAnsi="Segoe UI" w:cs="Segoe UI"/>
      <w:sz w:val="18"/>
      <w:szCs w:val="18"/>
    </w:rPr>
  </w:style>
  <w:style w:type="paragraph" w:styleId="Revision">
    <w:name w:val="Revision"/>
    <w:uiPriority w:val="99"/>
    <w:semiHidden/>
    <w:qFormat/>
    <w:rsid w:val="00d955ef"/>
    <w:pPr>
      <w:widowControl/>
      <w:pBdr/>
      <w:suppressAutoHyphens w:val="true"/>
      <w:bidi w:val="0"/>
      <w:spacing w:lineRule="auto" w:line="240" w:before="0" w:after="0"/>
      <w:jc w:val="left"/>
    </w:pPr>
    <w:rPr>
      <w:rFonts w:ascii="Calibri" w:hAnsi="Calibri" w:eastAsia="Calibri" w:cs="Calibri"/>
      <w:color w:val="000000"/>
      <w:sz w:val="22"/>
      <w:szCs w:val="22"/>
      <w:lang w:val="pl-PL" w:eastAsia="pl-PL" w:bidi="ar-SA"/>
    </w:rPr>
  </w:style>
  <w:style w:type="paragraph" w:styleId="ListParagraph">
    <w:name w:val="List Paragraph"/>
    <w:basedOn w:val="Normal"/>
    <w:uiPriority w:val="34"/>
    <w:qFormat/>
    <w:rsid w:val="00091322"/>
    <w:pPr>
      <w:pBdr/>
      <w:spacing w:before="0" w:after="160"/>
      <w:ind w:left="720" w:hanging="0"/>
      <w:contextualSpacing/>
    </w:pPr>
    <w:rPr>
      <w:rFonts w:ascii="Calibri" w:hAnsi="Calibri" w:eastAsia="Calibri" w:cs="" w:asciiTheme="minorHAnsi" w:cstheme="minorBidi" w:eastAsiaTheme="minorHAnsi" w:hAnsiTheme="minorHAnsi"/>
      <w:color w:val="00000A"/>
      <w:lang w:eastAsia="en-US"/>
    </w:rPr>
  </w:style>
  <w:style w:type="paragraph" w:styleId="Cytaty">
    <w:name w:val="Cytaty"/>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yperlink" Target="mailto:pentax@ricoh.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NeoOffice/2017.13_Professional_Edition$MacOSX_X86_64 NeoOffice_project/0</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2018-10-11T08:44:00Z</dcterms:created>
  <dc:creator>Dominik</dc:creator>
  <dc:language>pl-PL</dc:language>
  <dcterms:modified xsi:type="dcterms:W3CDTF">2018-10-18T11:25:55Z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